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4460" w14:textId="5047EC8D" w:rsidR="00CE3924" w:rsidRPr="00B6792C" w:rsidRDefault="005B1BC4" w:rsidP="004E68D4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792C">
        <w:rPr>
          <w:rFonts w:ascii="Times New Roman" w:eastAsia="標楷體" w:hAnsi="Times New Roman" w:cs="Times New Roman"/>
          <w:sz w:val="32"/>
          <w:szCs w:val="32"/>
        </w:rPr>
        <w:t>資通電腦股份有限公司</w:t>
      </w:r>
    </w:p>
    <w:p w14:paraId="724ABF27" w14:textId="5ABF56A7" w:rsidR="005B1BC4" w:rsidRPr="00B6792C" w:rsidRDefault="005B1BC4" w:rsidP="004E68D4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792C">
        <w:rPr>
          <w:rFonts w:ascii="Times New Roman" w:eastAsia="標楷體" w:hAnsi="Times New Roman" w:cs="Times New Roman"/>
          <w:sz w:val="32"/>
          <w:szCs w:val="32"/>
        </w:rPr>
        <w:t>11</w:t>
      </w:r>
      <w:r w:rsidR="00B608E2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6792C">
        <w:rPr>
          <w:rFonts w:ascii="Times New Roman" w:eastAsia="標楷體" w:hAnsi="Times New Roman" w:cs="Times New Roman"/>
          <w:sz w:val="32"/>
          <w:szCs w:val="32"/>
        </w:rPr>
        <w:t>年度</w:t>
      </w:r>
      <w:r w:rsidR="00C327F2" w:rsidRPr="00B6792C">
        <w:rPr>
          <w:rFonts w:ascii="Times New Roman" w:eastAsia="標楷體" w:hAnsi="Times New Roman" w:cs="Times New Roman"/>
          <w:sz w:val="32"/>
          <w:szCs w:val="32"/>
        </w:rPr>
        <w:t>薪酬</w:t>
      </w:r>
      <w:r w:rsidRPr="00B6792C">
        <w:rPr>
          <w:rFonts w:ascii="Times New Roman" w:eastAsia="標楷體" w:hAnsi="Times New Roman" w:cs="Times New Roman"/>
          <w:sz w:val="32"/>
          <w:szCs w:val="32"/>
        </w:rPr>
        <w:t>委員會績效評估結果</w:t>
      </w:r>
    </w:p>
    <w:p w14:paraId="3DE66DE8" w14:textId="4C1342BC" w:rsidR="005B1BC4" w:rsidRPr="00B6792C" w:rsidRDefault="005B1BC4" w:rsidP="005B1BC4">
      <w:pPr>
        <w:spacing w:line="24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F50D70F" w14:textId="3D5C9D83" w:rsidR="005B1BC4" w:rsidRPr="00B6792C" w:rsidRDefault="005B1BC4" w:rsidP="005B1BC4">
      <w:pPr>
        <w:pStyle w:val="a3"/>
        <w:numPr>
          <w:ilvl w:val="0"/>
          <w:numId w:val="1"/>
        </w:numPr>
        <w:spacing w:line="240" w:lineRule="atLeas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>本公司依據</w:t>
      </w:r>
      <w:r w:rsidRPr="00B6792C">
        <w:rPr>
          <w:rFonts w:ascii="Times New Roman" w:eastAsia="標楷體" w:hAnsi="Times New Roman" w:cs="Times New Roman"/>
          <w:szCs w:val="24"/>
        </w:rPr>
        <w:t>109</w:t>
      </w:r>
      <w:r w:rsidRPr="00B6792C">
        <w:rPr>
          <w:rFonts w:ascii="Times New Roman" w:eastAsia="標楷體" w:hAnsi="Times New Roman" w:cs="Times New Roman"/>
          <w:szCs w:val="24"/>
        </w:rPr>
        <w:t>年</w:t>
      </w:r>
      <w:r w:rsidRPr="00B6792C">
        <w:rPr>
          <w:rFonts w:ascii="Times New Roman" w:eastAsia="標楷體" w:hAnsi="Times New Roman" w:cs="Times New Roman"/>
          <w:szCs w:val="24"/>
        </w:rPr>
        <w:t>12</w:t>
      </w:r>
      <w:r w:rsidRPr="00B6792C">
        <w:rPr>
          <w:rFonts w:ascii="Times New Roman" w:eastAsia="標楷體" w:hAnsi="Times New Roman" w:cs="Times New Roman"/>
          <w:szCs w:val="24"/>
        </w:rPr>
        <w:t>月</w:t>
      </w:r>
      <w:r w:rsidRPr="00B6792C">
        <w:rPr>
          <w:rFonts w:ascii="Times New Roman" w:eastAsia="標楷體" w:hAnsi="Times New Roman" w:cs="Times New Roman"/>
          <w:szCs w:val="24"/>
        </w:rPr>
        <w:t>28</w:t>
      </w:r>
      <w:r w:rsidRPr="00B6792C">
        <w:rPr>
          <w:rFonts w:ascii="Times New Roman" w:eastAsia="標楷體" w:hAnsi="Times New Roman" w:cs="Times New Roman"/>
          <w:szCs w:val="24"/>
        </w:rPr>
        <w:t>日董事會通過修正之「董事會績效評估辦</w:t>
      </w:r>
      <w:r w:rsidRPr="00B6792C">
        <w:rPr>
          <w:rFonts w:ascii="Times New Roman" w:eastAsia="標楷體" w:hAnsi="Times New Roman" w:cs="Times New Roman"/>
          <w:szCs w:val="24"/>
          <w:lang w:eastAsia="zh-HK"/>
        </w:rPr>
        <w:t>法</w:t>
      </w:r>
      <w:r w:rsidRPr="00B6792C">
        <w:rPr>
          <w:rFonts w:ascii="Times New Roman" w:eastAsia="標楷體" w:hAnsi="Times New Roman" w:cs="Times New Roman"/>
          <w:szCs w:val="24"/>
        </w:rPr>
        <w:t>」辦理。</w:t>
      </w:r>
    </w:p>
    <w:p w14:paraId="25137752" w14:textId="77777777" w:rsidR="005B1BC4" w:rsidRPr="00B6792C" w:rsidRDefault="005B1BC4" w:rsidP="005B1BC4">
      <w:pPr>
        <w:pStyle w:val="a3"/>
        <w:spacing w:line="240" w:lineRule="atLeast"/>
        <w:ind w:leftChars="0" w:left="482"/>
        <w:rPr>
          <w:rFonts w:ascii="Times New Roman" w:eastAsia="標楷體" w:hAnsi="Times New Roman" w:cs="Times New Roman"/>
          <w:szCs w:val="24"/>
        </w:rPr>
      </w:pPr>
    </w:p>
    <w:p w14:paraId="0B7D1CDC" w14:textId="50CA0FC4" w:rsidR="005B1BC4" w:rsidRPr="00B6792C" w:rsidRDefault="005B1BC4" w:rsidP="005B1BC4">
      <w:pPr>
        <w:pStyle w:val="a3"/>
        <w:numPr>
          <w:ilvl w:val="0"/>
          <w:numId w:val="1"/>
        </w:numPr>
        <w:spacing w:line="240" w:lineRule="atLeas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>依據評估標準及其評估結果，</w:t>
      </w:r>
      <w:r w:rsidR="00C327F2" w:rsidRPr="00B6792C">
        <w:rPr>
          <w:rFonts w:ascii="Times New Roman" w:eastAsia="標楷體" w:hAnsi="Times New Roman" w:cs="Times New Roman"/>
          <w:szCs w:val="24"/>
        </w:rPr>
        <w:t>薪酬</w:t>
      </w:r>
      <w:r w:rsidRPr="00B6792C">
        <w:rPr>
          <w:rFonts w:ascii="Times New Roman" w:eastAsia="標楷體" w:hAnsi="Times New Roman" w:cs="Times New Roman"/>
          <w:szCs w:val="24"/>
        </w:rPr>
        <w:t>委員會自評結果如下：</w:t>
      </w:r>
    </w:p>
    <w:p w14:paraId="590A1A5C" w14:textId="77777777" w:rsidR="005B1BC4" w:rsidRPr="00B6792C" w:rsidRDefault="005B1BC4" w:rsidP="005B1BC4">
      <w:pPr>
        <w:pStyle w:val="a3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630"/>
        <w:gridCol w:w="3085"/>
      </w:tblGrid>
      <w:tr w:rsidR="005B1BC4" w:rsidRPr="00B6792C" w14:paraId="4759AFC0" w14:textId="77777777" w:rsidTr="005B1BC4">
        <w:trPr>
          <w:jc w:val="center"/>
        </w:trPr>
        <w:tc>
          <w:tcPr>
            <w:tcW w:w="3539" w:type="dxa"/>
          </w:tcPr>
          <w:p w14:paraId="0D28BD98" w14:textId="398BF666" w:rsidR="005B1BC4" w:rsidRPr="00B6792C" w:rsidRDefault="005B1BC4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評估項目</w:t>
            </w:r>
          </w:p>
        </w:tc>
        <w:tc>
          <w:tcPr>
            <w:tcW w:w="2630" w:type="dxa"/>
          </w:tcPr>
          <w:p w14:paraId="6EFE20EB" w14:textId="66D661D8" w:rsidR="005B1BC4" w:rsidRPr="00B6792C" w:rsidRDefault="005B1BC4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題數</w:t>
            </w:r>
          </w:p>
        </w:tc>
        <w:tc>
          <w:tcPr>
            <w:tcW w:w="3085" w:type="dxa"/>
          </w:tcPr>
          <w:p w14:paraId="2641DA1F" w14:textId="6FEC908B" w:rsidR="005B1BC4" w:rsidRPr="00B6792C" w:rsidRDefault="005B1BC4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平均</w:t>
            </w:r>
            <w:r w:rsidR="004E68D4" w:rsidRPr="00B6792C">
              <w:rPr>
                <w:rFonts w:ascii="Times New Roman" w:eastAsia="標楷體" w:hAnsi="Times New Roman" w:cs="Times New Roman"/>
                <w:szCs w:val="24"/>
              </w:rPr>
              <w:t>得分</w:t>
            </w:r>
          </w:p>
        </w:tc>
      </w:tr>
      <w:tr w:rsidR="005B1BC4" w:rsidRPr="00B6792C" w14:paraId="1FC0366F" w14:textId="77777777" w:rsidTr="005B1BC4">
        <w:trPr>
          <w:jc w:val="center"/>
        </w:trPr>
        <w:tc>
          <w:tcPr>
            <w:tcW w:w="3539" w:type="dxa"/>
          </w:tcPr>
          <w:p w14:paraId="56B84672" w14:textId="7073DCB5" w:rsidR="005B1BC4" w:rsidRPr="00B6792C" w:rsidRDefault="005B1BC4" w:rsidP="005B1BC4">
            <w:pPr>
              <w:pStyle w:val="a3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B6792C">
              <w:rPr>
                <w:rFonts w:ascii="Times New Roman" w:eastAsia="標楷體" w:hAnsi="Times New Roman" w:cs="Times New Roman"/>
                <w:szCs w:val="24"/>
              </w:rPr>
              <w:t>對公司營運之參與程度</w:t>
            </w:r>
          </w:p>
        </w:tc>
        <w:tc>
          <w:tcPr>
            <w:tcW w:w="2630" w:type="dxa"/>
          </w:tcPr>
          <w:p w14:paraId="76735A41" w14:textId="047B479E" w:rsidR="005B1BC4" w:rsidRPr="00B6792C" w:rsidRDefault="00C327F2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085" w:type="dxa"/>
          </w:tcPr>
          <w:p w14:paraId="425A5D75" w14:textId="58FECCB6" w:rsidR="005B1BC4" w:rsidRPr="00B6792C" w:rsidRDefault="00C327F2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97637C" w:rsidRPr="00B6792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5B1BC4" w:rsidRPr="00B6792C" w14:paraId="09A49C28" w14:textId="77777777" w:rsidTr="005B1BC4">
        <w:trPr>
          <w:jc w:val="center"/>
        </w:trPr>
        <w:tc>
          <w:tcPr>
            <w:tcW w:w="3539" w:type="dxa"/>
          </w:tcPr>
          <w:p w14:paraId="2BF50D80" w14:textId="1C099B9F" w:rsidR="005B1BC4" w:rsidRPr="00B6792C" w:rsidRDefault="005B1BC4" w:rsidP="005B1BC4">
            <w:pPr>
              <w:pStyle w:val="a3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B.</w:t>
            </w:r>
            <w:r w:rsidR="00C327F2" w:rsidRPr="00B6792C">
              <w:rPr>
                <w:rFonts w:ascii="Times New Roman" w:eastAsia="標楷體" w:hAnsi="Times New Roman" w:cs="Times New Roman"/>
                <w:szCs w:val="24"/>
              </w:rPr>
              <w:t>薪酬</w:t>
            </w:r>
            <w:r w:rsidRPr="00B6792C">
              <w:rPr>
                <w:rFonts w:ascii="Times New Roman" w:eastAsia="標楷體" w:hAnsi="Times New Roman" w:cs="Times New Roman"/>
                <w:szCs w:val="24"/>
              </w:rPr>
              <w:t>委員會職責認知</w:t>
            </w:r>
          </w:p>
        </w:tc>
        <w:tc>
          <w:tcPr>
            <w:tcW w:w="2630" w:type="dxa"/>
          </w:tcPr>
          <w:p w14:paraId="7313C4C8" w14:textId="08773791" w:rsidR="004E68D4" w:rsidRPr="00B6792C" w:rsidRDefault="00C327F2" w:rsidP="004E68D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3085" w:type="dxa"/>
          </w:tcPr>
          <w:p w14:paraId="58713254" w14:textId="1512A84C" w:rsidR="005B1BC4" w:rsidRPr="00B6792C" w:rsidRDefault="00C327F2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09658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5B1BC4" w:rsidRPr="00B6792C" w14:paraId="59C520D8" w14:textId="77777777" w:rsidTr="005B1BC4">
        <w:trPr>
          <w:jc w:val="center"/>
        </w:trPr>
        <w:tc>
          <w:tcPr>
            <w:tcW w:w="3539" w:type="dxa"/>
          </w:tcPr>
          <w:p w14:paraId="0B0763A1" w14:textId="4DF83ADE" w:rsidR="005B1BC4" w:rsidRPr="00B6792C" w:rsidRDefault="005B1BC4" w:rsidP="005B1BC4">
            <w:pPr>
              <w:pStyle w:val="a3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C.</w:t>
            </w:r>
            <w:r w:rsidRPr="00B6792C">
              <w:rPr>
                <w:rFonts w:ascii="Times New Roman" w:eastAsia="標楷體" w:hAnsi="Times New Roman" w:cs="Times New Roman"/>
                <w:szCs w:val="24"/>
              </w:rPr>
              <w:t>提升</w:t>
            </w:r>
            <w:r w:rsidR="00C327F2" w:rsidRPr="00B6792C">
              <w:rPr>
                <w:rFonts w:ascii="Times New Roman" w:eastAsia="標楷體" w:hAnsi="Times New Roman" w:cs="Times New Roman"/>
                <w:szCs w:val="24"/>
              </w:rPr>
              <w:t>薪酬</w:t>
            </w:r>
            <w:r w:rsidRPr="00B6792C">
              <w:rPr>
                <w:rFonts w:ascii="Times New Roman" w:eastAsia="標楷體" w:hAnsi="Times New Roman" w:cs="Times New Roman"/>
                <w:szCs w:val="24"/>
              </w:rPr>
              <w:t>委員會決策品質</w:t>
            </w:r>
          </w:p>
        </w:tc>
        <w:tc>
          <w:tcPr>
            <w:tcW w:w="2630" w:type="dxa"/>
          </w:tcPr>
          <w:p w14:paraId="3585DAB3" w14:textId="609B6DDF" w:rsidR="005B1BC4" w:rsidRPr="00B6792C" w:rsidRDefault="00C327F2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085" w:type="dxa"/>
          </w:tcPr>
          <w:p w14:paraId="6B23DC3E" w14:textId="40058969" w:rsidR="005B1BC4" w:rsidRPr="00B6792C" w:rsidRDefault="00C327F2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608E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</w:tr>
      <w:tr w:rsidR="005B1BC4" w:rsidRPr="00B6792C" w14:paraId="5B773ABF" w14:textId="77777777" w:rsidTr="005B1BC4">
        <w:trPr>
          <w:jc w:val="center"/>
        </w:trPr>
        <w:tc>
          <w:tcPr>
            <w:tcW w:w="3539" w:type="dxa"/>
          </w:tcPr>
          <w:p w14:paraId="7A89F514" w14:textId="01AE16F6" w:rsidR="005B1BC4" w:rsidRPr="00B6792C" w:rsidRDefault="005B1BC4" w:rsidP="005B1BC4">
            <w:pPr>
              <w:pStyle w:val="a3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D.</w:t>
            </w:r>
            <w:r w:rsidR="00C327F2" w:rsidRPr="00B6792C">
              <w:rPr>
                <w:rFonts w:ascii="Times New Roman" w:eastAsia="標楷體" w:hAnsi="Times New Roman" w:cs="Times New Roman"/>
                <w:szCs w:val="24"/>
              </w:rPr>
              <w:t>薪酬</w:t>
            </w:r>
            <w:r w:rsidRPr="00B6792C">
              <w:rPr>
                <w:rFonts w:ascii="Times New Roman" w:eastAsia="標楷體" w:hAnsi="Times New Roman" w:cs="Times New Roman"/>
                <w:szCs w:val="24"/>
              </w:rPr>
              <w:t>委員會組成及成員選任</w:t>
            </w:r>
          </w:p>
        </w:tc>
        <w:tc>
          <w:tcPr>
            <w:tcW w:w="2630" w:type="dxa"/>
          </w:tcPr>
          <w:p w14:paraId="198BEEB6" w14:textId="45D2E6B1" w:rsidR="005B1BC4" w:rsidRPr="00B6792C" w:rsidRDefault="00C327F2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085" w:type="dxa"/>
          </w:tcPr>
          <w:p w14:paraId="28518C11" w14:textId="5CD1BFD1" w:rsidR="005B1BC4" w:rsidRPr="00B6792C" w:rsidRDefault="0097637C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</w:tr>
      <w:tr w:rsidR="005B1BC4" w:rsidRPr="00B6792C" w14:paraId="67CF352B" w14:textId="77777777" w:rsidTr="005B1BC4">
        <w:trPr>
          <w:jc w:val="center"/>
        </w:trPr>
        <w:tc>
          <w:tcPr>
            <w:tcW w:w="3539" w:type="dxa"/>
          </w:tcPr>
          <w:p w14:paraId="081591AC" w14:textId="3574CBC6" w:rsidR="005B1BC4" w:rsidRPr="00B6792C" w:rsidRDefault="005B1BC4" w:rsidP="005B1BC4">
            <w:pPr>
              <w:pStyle w:val="a3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E.</w:t>
            </w:r>
            <w:r w:rsidRPr="00B6792C">
              <w:rPr>
                <w:rFonts w:ascii="Times New Roman" w:eastAsia="標楷體" w:hAnsi="Times New Roman" w:cs="Times New Roman"/>
                <w:szCs w:val="24"/>
              </w:rPr>
              <w:t>內部控制</w:t>
            </w:r>
          </w:p>
        </w:tc>
        <w:tc>
          <w:tcPr>
            <w:tcW w:w="2630" w:type="dxa"/>
          </w:tcPr>
          <w:p w14:paraId="3E82369F" w14:textId="46E8F69B" w:rsidR="005B1BC4" w:rsidRPr="00B6792C" w:rsidRDefault="00C327F2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085" w:type="dxa"/>
          </w:tcPr>
          <w:p w14:paraId="24764203" w14:textId="1162C725" w:rsidR="005B1BC4" w:rsidRPr="00B6792C" w:rsidRDefault="00C327F2" w:rsidP="005B1BC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CF1C56" w:rsidRPr="00B6792C" w14:paraId="47EF968D" w14:textId="77777777" w:rsidTr="00E77E60">
        <w:trPr>
          <w:trHeight w:val="368"/>
          <w:jc w:val="center"/>
        </w:trPr>
        <w:tc>
          <w:tcPr>
            <w:tcW w:w="6169" w:type="dxa"/>
            <w:gridSpan w:val="2"/>
            <w:shd w:val="clear" w:color="auto" w:fill="auto"/>
            <w:vAlign w:val="center"/>
          </w:tcPr>
          <w:p w14:paraId="5952EBA7" w14:textId="55D04F53" w:rsidR="00CF1C56" w:rsidRPr="00B6792C" w:rsidRDefault="00CF1C56" w:rsidP="00CF1C56">
            <w:pPr>
              <w:pStyle w:val="a3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得分結果</w:t>
            </w:r>
          </w:p>
        </w:tc>
        <w:tc>
          <w:tcPr>
            <w:tcW w:w="3085" w:type="dxa"/>
            <w:shd w:val="clear" w:color="auto" w:fill="auto"/>
          </w:tcPr>
          <w:p w14:paraId="5D274E31" w14:textId="3221870F" w:rsidR="00CF1C56" w:rsidRPr="00B6792C" w:rsidRDefault="00B6792C" w:rsidP="004E68D4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92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09658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</w:tbl>
    <w:p w14:paraId="17C76F6B" w14:textId="1C6E2EA5" w:rsidR="005B1BC4" w:rsidRPr="00B6792C" w:rsidRDefault="005B1BC4" w:rsidP="005B1BC4">
      <w:pPr>
        <w:pStyle w:val="a3"/>
        <w:spacing w:line="240" w:lineRule="atLeast"/>
        <w:ind w:leftChars="0" w:left="482"/>
        <w:rPr>
          <w:rFonts w:ascii="Times New Roman" w:eastAsia="標楷體" w:hAnsi="Times New Roman" w:cs="Times New Roman"/>
          <w:szCs w:val="24"/>
        </w:rPr>
      </w:pPr>
    </w:p>
    <w:p w14:paraId="4A003267" w14:textId="41799591" w:rsidR="005B1BC4" w:rsidRPr="00B6792C" w:rsidRDefault="004E68D4" w:rsidP="005B1BC4">
      <w:pPr>
        <w:pStyle w:val="a3"/>
        <w:spacing w:line="240" w:lineRule="atLeast"/>
        <w:ind w:leftChars="0" w:left="482"/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>評分說明</w:t>
      </w:r>
      <w:r w:rsidRPr="00B6792C">
        <w:rPr>
          <w:rFonts w:ascii="Times New Roman" w:eastAsia="標楷體" w:hAnsi="Times New Roman" w:cs="Times New Roman"/>
          <w:szCs w:val="24"/>
          <w:lang w:eastAsia="zh-HK"/>
        </w:rPr>
        <w:t>：</w:t>
      </w:r>
    </w:p>
    <w:p w14:paraId="45D010CC" w14:textId="2591D36D" w:rsidR="004E68D4" w:rsidRPr="00B6792C" w:rsidRDefault="004E68D4" w:rsidP="004E68D4">
      <w:pPr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 xml:space="preserve">　　</w:t>
      </w:r>
      <w:r w:rsidRPr="00B6792C">
        <w:rPr>
          <w:rFonts w:ascii="Times New Roman" w:eastAsia="標楷體" w:hAnsi="Times New Roman" w:cs="Times New Roman"/>
          <w:szCs w:val="24"/>
        </w:rPr>
        <w:t>90</w:t>
      </w:r>
      <w:r w:rsidRPr="00B6792C">
        <w:rPr>
          <w:rFonts w:ascii="Times New Roman" w:eastAsia="標楷體" w:hAnsi="Times New Roman" w:cs="Times New Roman"/>
          <w:szCs w:val="24"/>
        </w:rPr>
        <w:t>分以上：優等。</w:t>
      </w:r>
    </w:p>
    <w:p w14:paraId="5A213FC5" w14:textId="5A3D3A4E" w:rsidR="004E68D4" w:rsidRPr="00B6792C" w:rsidRDefault="004E68D4" w:rsidP="004E68D4">
      <w:pPr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 xml:space="preserve">　　</w:t>
      </w:r>
      <w:r w:rsidRPr="00B6792C">
        <w:rPr>
          <w:rFonts w:ascii="Times New Roman" w:eastAsia="標楷體" w:hAnsi="Times New Roman" w:cs="Times New Roman"/>
          <w:szCs w:val="24"/>
        </w:rPr>
        <w:t>80~89</w:t>
      </w:r>
      <w:r w:rsidRPr="00B6792C">
        <w:rPr>
          <w:rFonts w:ascii="Times New Roman" w:eastAsia="標楷體" w:hAnsi="Times New Roman" w:cs="Times New Roman"/>
          <w:szCs w:val="24"/>
        </w:rPr>
        <w:t>分：良好。</w:t>
      </w:r>
    </w:p>
    <w:p w14:paraId="4898445A" w14:textId="6ECAF493" w:rsidR="004E68D4" w:rsidRPr="00B6792C" w:rsidRDefault="004E68D4" w:rsidP="004E68D4">
      <w:pPr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 xml:space="preserve">　　</w:t>
      </w:r>
      <w:r w:rsidRPr="00B6792C">
        <w:rPr>
          <w:rFonts w:ascii="Times New Roman" w:eastAsia="標楷體" w:hAnsi="Times New Roman" w:cs="Times New Roman"/>
          <w:szCs w:val="24"/>
        </w:rPr>
        <w:t>70~79</w:t>
      </w:r>
      <w:r w:rsidRPr="00B6792C">
        <w:rPr>
          <w:rFonts w:ascii="Times New Roman" w:eastAsia="標楷體" w:hAnsi="Times New Roman" w:cs="Times New Roman"/>
          <w:szCs w:val="24"/>
        </w:rPr>
        <w:t>分：標準。</w:t>
      </w:r>
    </w:p>
    <w:p w14:paraId="34EE1505" w14:textId="71003C09" w:rsidR="005B1BC4" w:rsidRPr="00B6792C" w:rsidRDefault="004E68D4" w:rsidP="004E68D4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 xml:space="preserve">    69</w:t>
      </w:r>
      <w:r w:rsidRPr="00B6792C">
        <w:rPr>
          <w:rFonts w:ascii="Times New Roman" w:eastAsia="標楷體" w:hAnsi="Times New Roman" w:cs="Times New Roman"/>
          <w:szCs w:val="24"/>
        </w:rPr>
        <w:t>分以下：待加強。</w:t>
      </w:r>
    </w:p>
    <w:p w14:paraId="00D0D771" w14:textId="77777777" w:rsidR="005B1BC4" w:rsidRPr="00B6792C" w:rsidRDefault="005B1BC4" w:rsidP="005B1BC4">
      <w:pPr>
        <w:pStyle w:val="a3"/>
        <w:rPr>
          <w:rFonts w:ascii="Times New Roman" w:eastAsia="標楷體" w:hAnsi="Times New Roman" w:cs="Times New Roman"/>
          <w:szCs w:val="24"/>
        </w:rPr>
      </w:pPr>
    </w:p>
    <w:p w14:paraId="20C35642" w14:textId="5B8BCB8B" w:rsidR="005B1BC4" w:rsidRPr="00B6792C" w:rsidRDefault="00C02C8A" w:rsidP="005B1BC4">
      <w:pPr>
        <w:pStyle w:val="a3"/>
        <w:numPr>
          <w:ilvl w:val="0"/>
          <w:numId w:val="1"/>
        </w:numPr>
        <w:spacing w:line="240" w:lineRule="atLeas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>績效評估結果之執行情形：</w:t>
      </w:r>
    </w:p>
    <w:p w14:paraId="1D0C80F8" w14:textId="343E7F6A" w:rsidR="00C02C8A" w:rsidRPr="00B6792C" w:rsidRDefault="00CF1C56" w:rsidP="00C02C8A">
      <w:pPr>
        <w:pStyle w:val="a3"/>
        <w:spacing w:line="240" w:lineRule="atLeast"/>
        <w:ind w:leftChars="0" w:left="482"/>
        <w:rPr>
          <w:rFonts w:ascii="Times New Roman" w:eastAsia="標楷體" w:hAnsi="Times New Roman" w:cs="Times New Roman"/>
          <w:szCs w:val="24"/>
        </w:rPr>
      </w:pPr>
      <w:r w:rsidRPr="00B6792C">
        <w:rPr>
          <w:rFonts w:ascii="Times New Roman" w:eastAsia="標楷體" w:hAnsi="Times New Roman" w:cs="Times New Roman"/>
          <w:szCs w:val="24"/>
        </w:rPr>
        <w:t>本次薪酬委員會績效評估結果為</w:t>
      </w:r>
      <w:r w:rsidR="00B6792C" w:rsidRPr="00B6792C">
        <w:rPr>
          <w:rFonts w:ascii="Times New Roman" w:eastAsia="標楷體" w:hAnsi="Times New Roman" w:cs="Times New Roman"/>
          <w:szCs w:val="24"/>
        </w:rPr>
        <w:t>優等</w:t>
      </w:r>
      <w:r w:rsidRPr="00B6792C">
        <w:rPr>
          <w:rFonts w:ascii="Times New Roman" w:eastAsia="標楷體" w:hAnsi="Times New Roman" w:cs="Times New Roman"/>
          <w:szCs w:val="24"/>
        </w:rPr>
        <w:t>，顯示本公司整體運作良好，</w:t>
      </w:r>
      <w:r w:rsidR="00C02C8A" w:rsidRPr="00B6792C">
        <w:rPr>
          <w:rFonts w:ascii="Times New Roman" w:eastAsia="標楷體" w:hAnsi="Times New Roman" w:cs="Times New Roman"/>
          <w:szCs w:val="24"/>
        </w:rPr>
        <w:t>本公司於</w:t>
      </w:r>
      <w:r w:rsidR="004323AC">
        <w:rPr>
          <w:rFonts w:ascii="Times New Roman" w:eastAsia="標楷體" w:hAnsi="Times New Roman" w:cs="Times New Roman" w:hint="eastAsia"/>
          <w:szCs w:val="24"/>
        </w:rPr>
        <w:t>11</w:t>
      </w:r>
      <w:r w:rsidR="00B608E2">
        <w:rPr>
          <w:rFonts w:ascii="Times New Roman" w:eastAsia="標楷體" w:hAnsi="Times New Roman" w:cs="Times New Roman" w:hint="eastAsia"/>
          <w:szCs w:val="24"/>
        </w:rPr>
        <w:t>3</w:t>
      </w:r>
      <w:r w:rsidR="00C02C8A" w:rsidRPr="00B6792C">
        <w:rPr>
          <w:rFonts w:ascii="Times New Roman" w:eastAsia="標楷體" w:hAnsi="Times New Roman" w:cs="Times New Roman"/>
          <w:szCs w:val="24"/>
        </w:rPr>
        <w:t>年第一季提</w:t>
      </w:r>
      <w:r w:rsidR="004323AC">
        <w:rPr>
          <w:rFonts w:ascii="Times New Roman" w:eastAsia="標楷體" w:hAnsi="Times New Roman" w:cs="Times New Roman" w:hint="eastAsia"/>
          <w:szCs w:val="24"/>
        </w:rPr>
        <w:t>報</w:t>
      </w:r>
      <w:r w:rsidR="00C02C8A" w:rsidRPr="00B6792C">
        <w:rPr>
          <w:rFonts w:ascii="Times New Roman" w:eastAsia="標楷體" w:hAnsi="Times New Roman" w:cs="Times New Roman"/>
          <w:szCs w:val="24"/>
        </w:rPr>
        <w:t>董事會後，</w:t>
      </w:r>
      <w:r w:rsidR="0013620C">
        <w:rPr>
          <w:rFonts w:ascii="Times New Roman" w:eastAsia="標楷體" w:hAnsi="Times New Roman" w:cs="Times New Roman" w:hint="eastAsia"/>
          <w:szCs w:val="24"/>
        </w:rPr>
        <w:t>將</w:t>
      </w:r>
      <w:r w:rsidR="00C02C8A" w:rsidRPr="00B6792C">
        <w:rPr>
          <w:rFonts w:ascii="Times New Roman" w:eastAsia="標楷體" w:hAnsi="Times New Roman" w:cs="Times New Roman"/>
          <w:szCs w:val="24"/>
        </w:rPr>
        <w:t>同時</w:t>
      </w:r>
      <w:r w:rsidR="0013620C">
        <w:rPr>
          <w:rFonts w:ascii="Times New Roman" w:eastAsia="標楷體" w:hAnsi="Times New Roman" w:cs="Times New Roman" w:hint="eastAsia"/>
          <w:szCs w:val="24"/>
        </w:rPr>
        <w:t>在</w:t>
      </w:r>
      <w:r w:rsidR="00C02C8A" w:rsidRPr="00B6792C">
        <w:rPr>
          <w:rFonts w:ascii="Times New Roman" w:eastAsia="標楷體" w:hAnsi="Times New Roman" w:cs="Times New Roman"/>
          <w:szCs w:val="24"/>
        </w:rPr>
        <w:t>公司網站揭露評估結果。</w:t>
      </w:r>
    </w:p>
    <w:p w14:paraId="2ADD245C" w14:textId="77777777" w:rsidR="00C02C8A" w:rsidRPr="00B6792C" w:rsidRDefault="00C02C8A" w:rsidP="00C02C8A">
      <w:pPr>
        <w:pStyle w:val="a3"/>
        <w:spacing w:line="240" w:lineRule="atLeast"/>
        <w:ind w:leftChars="0" w:left="482"/>
        <w:rPr>
          <w:rFonts w:ascii="Times New Roman" w:eastAsia="標楷體" w:hAnsi="Times New Roman" w:cs="Times New Roman"/>
          <w:szCs w:val="24"/>
        </w:rPr>
      </w:pPr>
    </w:p>
    <w:p w14:paraId="5C83EE6A" w14:textId="77777777" w:rsidR="005B1BC4" w:rsidRPr="00B6792C" w:rsidRDefault="005B1BC4" w:rsidP="005B1BC4">
      <w:pPr>
        <w:pStyle w:val="a3"/>
        <w:rPr>
          <w:rFonts w:ascii="Times New Roman" w:eastAsia="標楷體" w:hAnsi="Times New Roman" w:cs="Times New Roman"/>
          <w:szCs w:val="24"/>
        </w:rPr>
      </w:pPr>
    </w:p>
    <w:p w14:paraId="6CDC5A5F" w14:textId="77777777" w:rsidR="005B1BC4" w:rsidRPr="00C02C8A" w:rsidRDefault="005B1BC4" w:rsidP="005B1BC4">
      <w:pPr>
        <w:pStyle w:val="a3"/>
        <w:spacing w:line="240" w:lineRule="atLeast"/>
        <w:ind w:leftChars="0" w:left="482"/>
        <w:rPr>
          <w:rFonts w:ascii="標楷體" w:eastAsia="標楷體" w:hAnsi="標楷體"/>
          <w:szCs w:val="24"/>
        </w:rPr>
      </w:pPr>
    </w:p>
    <w:sectPr w:rsidR="005B1BC4" w:rsidRPr="00C02C8A" w:rsidSect="00623D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09D3" w14:textId="77777777" w:rsidR="00623D0F" w:rsidRDefault="00623D0F" w:rsidP="00B6792C">
      <w:r>
        <w:separator/>
      </w:r>
    </w:p>
  </w:endnote>
  <w:endnote w:type="continuationSeparator" w:id="0">
    <w:p w14:paraId="242910DD" w14:textId="77777777" w:rsidR="00623D0F" w:rsidRDefault="00623D0F" w:rsidP="00B6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52E7" w14:textId="77777777" w:rsidR="00623D0F" w:rsidRDefault="00623D0F" w:rsidP="00B6792C">
      <w:r>
        <w:separator/>
      </w:r>
    </w:p>
  </w:footnote>
  <w:footnote w:type="continuationSeparator" w:id="0">
    <w:p w14:paraId="33CCF217" w14:textId="77777777" w:rsidR="00623D0F" w:rsidRDefault="00623D0F" w:rsidP="00B6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07E2"/>
    <w:multiLevelType w:val="hybridMultilevel"/>
    <w:tmpl w:val="7C5EAD20"/>
    <w:lvl w:ilvl="0" w:tplc="8AE4BA1C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448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C4"/>
    <w:rsid w:val="0009658B"/>
    <w:rsid w:val="0013620C"/>
    <w:rsid w:val="00194304"/>
    <w:rsid w:val="004323AC"/>
    <w:rsid w:val="004E68D4"/>
    <w:rsid w:val="005B1BC4"/>
    <w:rsid w:val="00616E62"/>
    <w:rsid w:val="00623D0F"/>
    <w:rsid w:val="0097637C"/>
    <w:rsid w:val="00AF4D5B"/>
    <w:rsid w:val="00B608E2"/>
    <w:rsid w:val="00B6792C"/>
    <w:rsid w:val="00C02C8A"/>
    <w:rsid w:val="00C327F2"/>
    <w:rsid w:val="00CE3924"/>
    <w:rsid w:val="00C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F0EE"/>
  <w15:chartTrackingRefBased/>
  <w15:docId w15:val="{024C0DAD-ECFD-4C77-ACA3-64AC9AB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C4"/>
    <w:pPr>
      <w:ind w:leftChars="200" w:left="480"/>
    </w:pPr>
  </w:style>
  <w:style w:type="table" w:styleId="a4">
    <w:name w:val="Table Grid"/>
    <w:basedOn w:val="a1"/>
    <w:uiPriority w:val="39"/>
    <w:rsid w:val="005B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6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68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7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79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D</dc:creator>
  <cp:keywords/>
  <dc:description/>
  <cp:lastModifiedBy>SY D</cp:lastModifiedBy>
  <cp:revision>4</cp:revision>
  <cp:lastPrinted>2023-03-24T01:25:00Z</cp:lastPrinted>
  <dcterms:created xsi:type="dcterms:W3CDTF">2024-03-01T07:27:00Z</dcterms:created>
  <dcterms:modified xsi:type="dcterms:W3CDTF">2024-03-01T08:06:00Z</dcterms:modified>
</cp:coreProperties>
</file>