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4CF2" w14:textId="77777777" w:rsidR="00291320" w:rsidRDefault="00291320" w:rsidP="00CF38A2">
      <w:pPr>
        <w:widowControl/>
        <w:jc w:val="center"/>
        <w:rPr>
          <w:rFonts w:ascii="微軟正黑體" w:eastAsia="微軟正黑體" w:hAnsi="微軟正黑體" w:cs="Calibri"/>
          <w:b/>
          <w:bCs/>
          <w:kern w:val="0"/>
          <w:sz w:val="28"/>
          <w:szCs w:val="28"/>
        </w:rPr>
      </w:pPr>
    </w:p>
    <w:p w14:paraId="6FD1B810" w14:textId="48FC12AD" w:rsidR="00CF38A2" w:rsidRPr="00CF38A2" w:rsidRDefault="00CF38A2" w:rsidP="00CF38A2">
      <w:pPr>
        <w:widowControl/>
        <w:jc w:val="center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b/>
          <w:bCs/>
          <w:kern w:val="0"/>
          <w:sz w:val="28"/>
          <w:szCs w:val="28"/>
        </w:rPr>
        <w:t>內部稽核組織及其執行情形</w:t>
      </w:r>
    </w:p>
    <w:p w14:paraId="5B8F31CD" w14:textId="77777777" w:rsidR="00CF38A2" w:rsidRPr="00CF38A2" w:rsidRDefault="00CF38A2" w:rsidP="00CF38A2">
      <w:pPr>
        <w:widowControl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b/>
          <w:bCs/>
          <w:kern w:val="0"/>
          <w:szCs w:val="24"/>
        </w:rPr>
        <w:t> </w:t>
      </w:r>
    </w:p>
    <w:p w14:paraId="1F766635" w14:textId="77777777" w:rsidR="00CF38A2" w:rsidRPr="00CF38A2" w:rsidRDefault="00CF38A2" w:rsidP="00CF38A2">
      <w:pPr>
        <w:widowControl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b/>
          <w:bCs/>
          <w:kern w:val="0"/>
          <w:szCs w:val="24"/>
        </w:rPr>
        <w:t>內部稽核之組織</w:t>
      </w:r>
    </w:p>
    <w:p w14:paraId="1C3BC5D7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1.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本公司內部稽核為獨立單位，直接隸屬於董事會，內部稽核主管之任免必須經董事會同意。</w:t>
      </w:r>
    </w:p>
    <w:p w14:paraId="3C2180A1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2.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本公司內部稽核單位配置專任內部稽核人員，稽核主管及其所屬稽核人員共計1人。</w:t>
      </w:r>
    </w:p>
    <w:p w14:paraId="6C506AD1" w14:textId="000BCD61" w:rsidR="00CF38A2" w:rsidRDefault="00CF38A2" w:rsidP="00CF38A2">
      <w:pPr>
        <w:widowControl/>
        <w:ind w:left="480" w:hanging="480"/>
        <w:rPr>
          <w:rFonts w:ascii="微軟正黑體" w:eastAsia="微軟正黑體" w:hAnsi="微軟正黑體" w:cs="Calibri"/>
          <w:kern w:val="0"/>
          <w:sz w:val="22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3.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本公司內部稽核人員之資格符合法定之適任條件，並持續進修專業知識及技能。</w:t>
      </w:r>
    </w:p>
    <w:p w14:paraId="5FD2A3BB" w14:textId="77777777" w:rsidR="00BE71DA" w:rsidRPr="00CF38A2" w:rsidRDefault="00BE71DA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</w:p>
    <w:p w14:paraId="5659643C" w14:textId="2A20FC16" w:rsidR="00943E5A" w:rsidRPr="008D5883" w:rsidRDefault="00CF38A2" w:rsidP="00943E5A">
      <w:pPr>
        <w:widowControl/>
        <w:rPr>
          <w:rFonts w:ascii="微軟正黑體" w:eastAsia="微軟正黑體" w:hAnsi="微軟正黑體" w:cs="Calibri"/>
          <w:kern w:val="0"/>
          <w:szCs w:val="24"/>
        </w:rPr>
      </w:pPr>
      <w:r w:rsidRPr="008D5883">
        <w:rPr>
          <w:rFonts w:ascii="微軟正黑體" w:eastAsia="微軟正黑體" w:hAnsi="微軟正黑體" w:cs="Calibri" w:hint="eastAsia"/>
          <w:b/>
          <w:bCs/>
          <w:kern w:val="0"/>
          <w:szCs w:val="24"/>
        </w:rPr>
        <w:t> </w:t>
      </w:r>
      <w:r w:rsidR="00BE71DA" w:rsidRPr="008D5883">
        <w:rPr>
          <w:rFonts w:ascii="微軟正黑體" w:eastAsia="微軟正黑體" w:hAnsi="微軟正黑體" w:cs="Calibri"/>
          <w:kern w:val="0"/>
          <w:szCs w:val="24"/>
        </w:rPr>
        <w:t xml:space="preserve">4. </w:t>
      </w:r>
      <w:r w:rsidR="00943E5A" w:rsidRPr="008D5883">
        <w:rPr>
          <w:rFonts w:ascii="微軟正黑體" w:eastAsia="微軟正黑體" w:hAnsi="微軟正黑體" w:cs="Calibri"/>
          <w:kern w:val="0"/>
          <w:szCs w:val="24"/>
        </w:rPr>
        <w:t xml:space="preserve"> </w:t>
      </w:r>
      <w:r w:rsidR="00943E5A" w:rsidRPr="008D5883">
        <w:rPr>
          <w:rFonts w:ascii="微軟正黑體" w:eastAsia="微軟正黑體" w:hAnsi="微軟正黑體" w:cs="Calibri" w:hint="eastAsia"/>
          <w:kern w:val="0"/>
          <w:szCs w:val="24"/>
        </w:rPr>
        <w:t>本公司內部稽核人員任免、薪資報酬及每年</w:t>
      </w:r>
      <w:r w:rsidR="00D3508B" w:rsidRPr="008D5883">
        <w:rPr>
          <w:rFonts w:ascii="微軟正黑體" w:eastAsia="微軟正黑體" w:hAnsi="微軟正黑體" w:cs="Calibri" w:hint="eastAsia"/>
          <w:kern w:val="0"/>
          <w:szCs w:val="24"/>
        </w:rPr>
        <w:t>兩</w:t>
      </w:r>
      <w:r w:rsidR="00943E5A" w:rsidRPr="008D5883">
        <w:rPr>
          <w:rFonts w:ascii="微軟正黑體" w:eastAsia="微軟正黑體" w:hAnsi="微軟正黑體" w:cs="Calibri" w:hint="eastAsia"/>
          <w:kern w:val="0"/>
          <w:szCs w:val="24"/>
        </w:rPr>
        <w:t>次考評皆由稽核主管簽報至</w:t>
      </w:r>
    </w:p>
    <w:p w14:paraId="641EB4F5" w14:textId="17B047ED" w:rsidR="00CF38A2" w:rsidRPr="008D5883" w:rsidRDefault="00943E5A" w:rsidP="00943E5A">
      <w:pPr>
        <w:widowControl/>
        <w:ind w:firstLineChars="200" w:firstLine="480"/>
        <w:rPr>
          <w:rFonts w:ascii="Calibri" w:eastAsia="新細明體" w:hAnsi="Calibri" w:cs="Calibri"/>
          <w:kern w:val="0"/>
          <w:szCs w:val="24"/>
        </w:rPr>
      </w:pPr>
      <w:r w:rsidRPr="008D5883">
        <w:rPr>
          <w:rFonts w:ascii="微軟正黑體" w:eastAsia="微軟正黑體" w:hAnsi="微軟正黑體" w:cs="Calibri" w:hint="eastAsia"/>
          <w:kern w:val="0"/>
          <w:szCs w:val="24"/>
        </w:rPr>
        <w:t>本公司董事長，相關辦法已揭露於本公司內部公司規章中。</w:t>
      </w:r>
    </w:p>
    <w:p w14:paraId="0910FD8A" w14:textId="77777777" w:rsidR="00CF38A2" w:rsidRPr="00CF38A2" w:rsidRDefault="00CF38A2" w:rsidP="00CF38A2">
      <w:pPr>
        <w:widowControl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b/>
          <w:bCs/>
          <w:kern w:val="0"/>
          <w:szCs w:val="24"/>
        </w:rPr>
        <w:t>內部稽核之運作</w:t>
      </w:r>
    </w:p>
    <w:p w14:paraId="6BDB4523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1.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內部稽核人員</w:t>
      </w:r>
      <w:proofErr w:type="gramStart"/>
      <w:r w:rsidRPr="00CF38A2">
        <w:rPr>
          <w:rFonts w:ascii="微軟正黑體" w:eastAsia="微軟正黑體" w:hAnsi="微軟正黑體" w:cs="Calibri" w:hint="eastAsia"/>
          <w:kern w:val="0"/>
          <w:sz w:val="22"/>
        </w:rPr>
        <w:t>秉持著</w:t>
      </w:r>
      <w:proofErr w:type="gramEnd"/>
      <w:r w:rsidRPr="00CF38A2">
        <w:rPr>
          <w:rFonts w:ascii="微軟正黑體" w:eastAsia="微軟正黑體" w:hAnsi="微軟正黑體" w:cs="Calibri" w:hint="eastAsia"/>
          <w:kern w:val="0"/>
          <w:sz w:val="22"/>
        </w:rPr>
        <w:t>超然獨立之精神，以客觀公正之立場，確實執行職務，並盡專業上應有之注意，稽核主管定期於審計委員會報告稽核業務，並列席董事會報告。</w:t>
      </w:r>
    </w:p>
    <w:p w14:paraId="55F83DC9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2.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內部稽核範圍包括本公司所有單位及子公司。</w:t>
      </w:r>
    </w:p>
    <w:p w14:paraId="2F671B6B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3.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內部稽核工作主要是依據董事會通過的稽核計畫執行，該稽核計畫乃依據已辨識之風險擬訂，另視需要執行專案稽核，據以檢查公司之內部控制制度是否適當及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lastRenderedPageBreak/>
        <w:t>其效果和效率，並作成稽核報告，提供管理階層參考，於法定時限前交付審計委員會查閱。</w:t>
      </w:r>
    </w:p>
    <w:p w14:paraId="219391B8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4.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內部稽核人員與受查單位就查核結果充分溝通，對於查核所發現之內部控制制度缺失及異常事項，據實揭露於稽核報告，由受查單位提交改善計畫，並依照改善計劃預計完成時限進行追蹤，定期作成追蹤報告，依法定時限交付審計委員會查閱。</w:t>
      </w:r>
    </w:p>
    <w:p w14:paraId="3549FC03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5.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內部稽核人員覆核各單位所執行的內部控制制度自行檢查，包括檢查該作業是否執行並覆核文件以確保執行的品質，並綜合自行檢查結果，報告董事會。</w:t>
      </w:r>
    </w:p>
    <w:p w14:paraId="7255D375" w14:textId="77777777" w:rsidR="00CF38A2" w:rsidRPr="00CF38A2" w:rsidRDefault="00CF38A2" w:rsidP="00CF38A2">
      <w:pPr>
        <w:widowControl/>
        <w:ind w:left="480" w:hanging="480"/>
        <w:rPr>
          <w:rFonts w:ascii="Calibri" w:eastAsia="新細明體" w:hAnsi="Calibri" w:cs="Calibri"/>
          <w:kern w:val="0"/>
          <w:szCs w:val="24"/>
        </w:rPr>
      </w:pPr>
      <w:r w:rsidRPr="00CF38A2">
        <w:rPr>
          <w:rFonts w:ascii="微軟正黑體" w:eastAsia="微軟正黑體" w:hAnsi="微軟正黑體" w:cs="Calibri" w:hint="eastAsia"/>
          <w:kern w:val="0"/>
          <w:sz w:val="22"/>
        </w:rPr>
        <w:t>6.</w:t>
      </w:r>
      <w:r w:rsidRPr="00CF38A2">
        <w:rPr>
          <w:rFonts w:ascii="Times New Roman" w:eastAsia="微軟正黑體" w:hAnsi="Times New Roman" w:cs="Times New Roman"/>
          <w:kern w:val="0"/>
          <w:sz w:val="14"/>
          <w:szCs w:val="14"/>
        </w:rPr>
        <w:t xml:space="preserve">         </w:t>
      </w:r>
      <w:r w:rsidRPr="00CF38A2">
        <w:rPr>
          <w:rFonts w:ascii="微軟正黑體" w:eastAsia="微軟正黑體" w:hAnsi="微軟正黑體" w:cs="Calibri" w:hint="eastAsia"/>
          <w:kern w:val="0"/>
          <w:sz w:val="22"/>
        </w:rPr>
        <w:t>內部稽核人員於法定時限前，向主管機關辦理申報各項應申報的業務。</w:t>
      </w:r>
    </w:p>
    <w:p w14:paraId="31FC2B4D" w14:textId="77777777" w:rsidR="00892A26" w:rsidRPr="00CF38A2" w:rsidRDefault="00892A26" w:rsidP="00CF38A2"/>
    <w:sectPr w:rsidR="00892A26" w:rsidRPr="00CF38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291320"/>
    <w:rsid w:val="00892A26"/>
    <w:rsid w:val="008D5883"/>
    <w:rsid w:val="00943E5A"/>
    <w:rsid w:val="00BE71DA"/>
    <w:rsid w:val="00CF38A2"/>
    <w:rsid w:val="00D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B626"/>
  <w15:chartTrackingRefBased/>
  <w15:docId w15:val="{89BF793E-50AD-4F31-856C-51533CFF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孝儀 丁</dc:creator>
  <cp:keywords/>
  <dc:description/>
  <cp:lastModifiedBy>孝儀 丁</cp:lastModifiedBy>
  <cp:revision>2</cp:revision>
  <dcterms:created xsi:type="dcterms:W3CDTF">2020-11-20T02:06:00Z</dcterms:created>
  <dcterms:modified xsi:type="dcterms:W3CDTF">2020-11-20T02:06:00Z</dcterms:modified>
</cp:coreProperties>
</file>